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GVGA (Bayern) — Wegnahme von Urkunden über die gepfändete Forderung (§§ 830, 836, 837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Hat der Gläubiger die Pfändung einer Forderung, für die eine Hypothek besteht, oder die Pfändung einer Grundschuld oder Rentenschuld erwirkt, so ist der Schuldner verpflichtet, den etwa bestehenden Hypotheken-, Grundschuld- oder Rentenschuldbrief an den Gläubiger herauszugeben (§§ 830, 857 Absatz 6 ZPO). Dasselbe gilt für andere über eine Forderung vorhandene Urkunden (zum Beispiel Schuldschein, Sparbuch, Pfandschein, Versicherungspolice), wenn außer der Pfändung auch schon die Überweisung zugunsten des Gläubigers erfolgt ist (§ 836 ZPO).</w:t>
      </w:r>
    </w:p>
    <w:p>
      <w:r>
        <w:t xml:space="preserve">(2) Verweigert der Schuldner die Herausgabe der Urkunden, so nimmt der Gerichtsvollzieher sie ihm weg. Die Wegnahme ist im Wege der Zwangsvollstreckung zu bewirken (§§ 127 bis 132). Der Gerichtsvollzieher wird dazu durch den Besitz des Schuldtitels und einer Ausfertigung des Pfändungsbeschlusses (bei Wegnahme eines Hypotheken-, Grundschuld- oder Rentenschuldbriefes) oder des Überweisungsbeschlusses (bei Wegnahme anderer Urkunden) ermächtigt. Der Pfändungs- oder Überweisungsbeschluss ist dem Schuldner spätestens bis zum Beginn der Vollstreckungstätigkeit zuzustellen, welche die Wegnahme der Urkunde zum Ziel hat.</w:t>
      </w:r>
    </w:p>
    <w:p>
      <w:r>
        <w:t xml:space="preserve">(3) Sind die wegzunehmenden Urkunden in dem Pfändungs- oder Überweisungsbeschluss nicht so genau bezeichnet, dass sie der Gerichtsvollzieher nach dieser Bezeichnung bei dem Schuldner aufsuchen kann, so überlässt er es dem Gläubiger, eine Vervollständigung des Beschlusses bei dem Gericht zu beantragen.</w:t>
      </w:r>
    </w:p>
    <w:p>
      <w:r>
        <w:rPr>
          <w:color w:val="555555"/>
          <w:sz w:val="17"/>
        </w:rPr>
        <w:t xml:space="preserve">Zitiervorschlag: § 122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