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Pfandstücke, deren Veräußerung nicht erforderlich gewesen ist oder die entweder auf Anweisung des Gläubigers oder auf Grund einer gerichtlichen Entscheidung freigegeben sind, stellt der Gerichtsvollzieher ohne Verzug dem Empfangsberechtigten zur Verfügung und gibt sie gegen Empfangsbescheinigung heraus, wenn sie aus dem Gewahrsam des Schuldners oder eines Dritten entfernt waren. War die Pfändung zu Recht erfolgt, hat der Schuldner die Kosten der Zurückschaffung zu tragen, war sie zu Unrecht erfolgt, hat der Gläubiger die Kosten zu tragen. Bei der Bekanntmachung der Freigabe ist der Schuldner ausdrücklich zur Entfernung der Pfandzeichen zu ermächtigen. Ein etwa bestellter Hüter ist von dem Ende der Vollstreckung zu benachrichtigen.</w:t>
      </w:r>
    </w:p>
    <w:p>
      <w:r>
        <w:t xml:space="preserve">(2) Empfangsberechtigt ist grundsätzlich derjenige, aus dessen Gewahrsam die Sachen genommen worden sind. Ist über das Vermögen des Schuldners das Insolvenzverfahren eröffnet, so stellt der Gerichtsvollzieher die zurückzugebenden Gegenstände dem Insolvenzverwalter bzw. Treuhänder zur Verfügung, soweit sie zur Masse gehören.</w:t>
      </w:r>
    </w:p>
    <w:p>
      <w:r>
        <w:t xml:space="preserve">(3) Befinden sich die Pfandstücke im Gewahrsam des Gerichtsvollziehers oder eines Verwahrers und verweigert oder unterlässt der Empfangsberechtigte innerhalb einer ihm gestellten angemessenen Frist die Abholung der Pfandstücke oder ist der Aufenthalt des Empfangsberechtigten nicht zu ermitteln, so kann der Gerichtsvollzieher die Pfandstücke hinterlegen (§ 372 BGB) oder nach § 383 BGB verfahren, sofern dessen Voraussetzungen vorliegen. Bei der Fristsetzung ist der Empfangsberechtigte hierauf hinzuweisen. Gegenstände, die sich in der Pfandkammer befinden, können auch nach § 983 BGB versteigert werden, wenn sich der Empfangsberechtigte oder sein Aufenthalt nicht ermitteln lässt. Die Gründe, aus denen zu einer dieser Maßregeln geschritten wird, sind aktenkundig zu machen; auch ist zu vermerken, welche Versuche zur Ermittlung des Empfangsberechtigten unternommen worden sind. Das Verfahren nach den §§ 383 oder 983 BGB darf der Gerichtsvollzieher nur auf Anordnung seiner vorgesetzten Dienststelle einleiten. Der Gerichtsvollzieher legt dieser die Akten vor.</w:t>
      </w:r>
    </w:p>
    <w:p>
      <w:r>
        <w:rPr>
          <w:color w:val="555555"/>
          <w:sz w:val="17"/>
        </w:rPr>
        <w:t xml:space="preserve">Zitiervorschlag: § 120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