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115 GVGA (Bayern)</w:t>
      </w:r>
    </w:p>
    <w:p>
      <w:r>
        <w:rPr>
          <w:color w:val="555555"/>
          <w:sz w:val="18"/>
        </w:rPr>
        <w:t xml:space="preserve">Geschäftsanweisung für Gerichtsvollzieher</w:t>
      </w:r>
    </w:p>
    <w:p>
      <w:r>
        <w:rPr>
          <w:color w:val="555555"/>
          <w:sz w:val="18"/>
        </w:rPr>
        <w:t xml:space="preserve">Landesrecht Bayern</w:t>
      </w:r>
    </w:p>
    <w:p>
      <w:r>
        <w:rPr>
          <w:color w:val="555555"/>
          <w:sz w:val="18"/>
        </w:rPr>
        <w:t xml:space="preserve">Stand: 25.08.2026 (konsolidierte Textfassung, kein amtliches Inkrafttretensdatum)</w:t>
      </w:r>
    </w:p>
    <w:p>
      <w:r>
        <w:t xml:space="preserve">Das Registerpfandrecht an einem inländischen oder ein Recht an einem ausländischen Luftfahrzeug kann sich auf Ersatzteile erstrecken, die an einer bestimmten Stelle (Ersatzteillager) lagern oder von ihr entfernt werden, nachdem sie in Beschlag genommen worden sind (vergleiche hierzu §§ 68, 69, 71, 105, 106 Absatz 1 Nummer 2 LuftFzgG). Soll wegen einer Geldforderung die Zwangsvollstreckung in solche Ersatzteile betrieben werden, so sind die besonderen Vorschriften des § 100 LuftFzgG zu beachten.</w:t>
      </w:r>
    </w:p>
    <w:p>
      <w:r>
        <w:rPr>
          <w:color w:val="555555"/>
          <w:sz w:val="17"/>
        </w:rPr>
        <w:t xml:space="preserve">Zitiervorschlag: § 115 GVGA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https://recht.nulegal.eu/gesetze/GVGA/115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