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GVGA (Bayern) — Behandlung der Zulassungsbescheinigung Teil II bei der Veräußerung des Kraftfahrzeugs</w:t>
      </w:r>
    </w:p>
    <w:p>
      <w:r>
        <w:rPr>
          <w:color w:val="555555"/>
          <w:sz w:val="18"/>
        </w:rPr>
        <w:t xml:space="preserve">Geschäftsanweisung für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Besitzt der Gerichtsvollzieher die Zulassungsbescheinigung Teil II, so händigt er sie dem Erwerber bei der Übergabe des Fahrzeugs gegen Empfangsbestätigung aus.</w:t>
      </w:r>
    </w:p>
    <w:p>
      <w:r>
        <w:t xml:space="preserve">(2) Besitzt der Gerichtsvollzieher die Zulassungsbescheinigung Teil II nicht, so gibt er dem Erwerber eine mit seiner Unterschrift und dem Dienststempelabdruck versehene Bescheinigung dahin, dass der Erwerber das nach § 111 Absatz 2 Nummer 3, 4 und 6 näher bezeichnete Kraftfahrzeug in der Zwangsvollstreckung erworben hat und dass die Zulassungsbescheinigung Teil II bei der Pfändung nicht gefunden worden ist.</w:t>
      </w:r>
    </w:p>
    <w:p>
      <w:r>
        <w:rPr>
          <w:color w:val="555555"/>
          <w:sz w:val="17"/>
        </w:rPr>
        <w:t xml:space="preserve">Zitiervorschlag: § 113 GVGA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https://recht.nulegal.eu/gesetze/GVGA/113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