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112 GVGA (Bayern) — Wegfall oder Aussetzung der Benachrichtigung</w:t>
      </w:r>
    </w:p>
    <w:p>
      <w:r>
        <w:rPr>
          <w:color w:val="555555"/>
          <w:sz w:val="18"/>
        </w:rPr>
        <w:t xml:space="preserve">Geschäftsanweisung für Gerichtsvollzieher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Von der Nachricht an die Zulassungsstelle ist abzusehen, wenn</w:t>
      </w:r>
    </w:p>
    <w:p>
      <w:r>
        <w:t xml:space="preserve">1. der gewöhnliche Verkaufswert eines Kraftwagens den Betrag von 400 Euro und der eines Kraftrades den Betrag von 200 Euro nicht übersteigt,</w:t>
      </w:r>
    </w:p>
    <w:p>
      <w:r>
        <w:t xml:space="preserve">2. besondere Umstände die baldige Verwertung erfordern, zum Beispiel die Kosten der Verwahrung im Verhältnis zum voraussichtlichen Erlös zu hoch sind.</w:t>
      </w:r>
    </w:p>
    <w:p>
      <w:r>
        <w:t xml:space="preserve">(2) Von der Nachricht an die Zulassungsstelle kann einstweilen abgesehen werden, wenn</w:t>
      </w:r>
    </w:p>
    <w:p>
      <w:r>
        <w:t xml:space="preserve">1. ein sicherer Anhalt für die gütliche Erledigung der Vollstreckung besteht,</w:t>
      </w:r>
    </w:p>
    <w:p>
      <w:r>
        <w:t xml:space="preserve">2. der Versteigerungstermin von vornherein mit einer Frist von mehr als sechs Wochen angesetzt wird.</w:t>
      </w:r>
    </w:p>
    <w:p>
      <w:r>
        <w:t xml:space="preserve">Sobald jedoch feststeht, dass das Fahrzeug im Wege der Zwangsvollstreckung veräußert werden wird, ist die Zulassungsstelle spätestens vier Wochen vor dem Termin zu benachrichtigen.</w:t>
      </w:r>
    </w:p>
    <w:p>
      <w:r>
        <w:rPr>
          <w:color w:val="555555"/>
          <w:sz w:val="17"/>
        </w:rPr>
        <w:t xml:space="preserve">Zitiervorschlag: § 112 GVGA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https://recht.nulegal.eu/gesetze/GVGA/112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