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GVGA (Bayern) — Behandlung der Zulassungsbescheinigung Teil II</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Pfändung eines Kraftfahrzeugs nimmt der Gerichtsvollzieher auch die über das Fahrzeug ausgestellte Zulassungsbescheinigung Teil II in Besitz, wenn er sie im Gewahrsam des Schuldners findet.</w:t>
      </w:r>
    </w:p>
    <w:p>
      <w:r>
        <w:t xml:space="preserve">(2) Findet der Gerichtsvollzieher die Zulassungsbescheinigung Teil II nicht, so forscht er durch Befragen des Schuldners oder der bei der Vollstreckung anwesenden Personen (Familienangehörige, beim Schuldner Beschäftigte) nach dem Verbleib der Bescheinigung; das Ergebnis vermerkt er im Protokoll. Befindet sich die Zulassungsbescheinigung Teil II hiernach angeblich in der Hand eines Dritten, so teilt der Gerichtsvollzieher dem Gläubiger den Namen und die Wohnung des Dritten mit; er gibt möglichst auch an, weshalb sich die Bescheinigung in der Hand des Dritten befindet.</w:t>
      </w:r>
    </w:p>
    <w:p>
      <w:r>
        <w:t xml:space="preserve">(3) Hat der Gerichtsvollzieher die Zulassungsbescheinigung Teil II nicht in Besitz nehmen können, so kann er in geeigneten Fällen den Schuldner darauf hinweisen, dass die Pfändung voraussichtlich nach § 111 der Zulassungsstelle mitgeteilt werden wird.</w:t>
      </w:r>
    </w:p>
    <w:p>
      <w:r>
        <w:rPr>
          <w:color w:val="555555"/>
          <w:sz w:val="17"/>
        </w:rPr>
        <w:t xml:space="preserve">Zitiervorschlag: § 110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