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GVGA (Bayern) — Behandlung der Zulassungsbescheinigung Teil I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Pfändet der Gerichtsvollzieher ein Kraftfahrzeug, so nimmt er die über das Kraftfahrzeug ausgestellte und im Gewahrsam des Schuldners befindliche Zulassungsbescheinigung Teil I in Besitz, sofern das Fahrzeug nicht gemäß § 107 Absatz 1 im Gewahrsam des Schuldners belassen wird. Findet der Gerichtsvollzieher die Zulassungsbescheinigung Teil I nicht, vermerkt er dies im Protokoll.</w:t>
      </w:r>
    </w:p>
    <w:p>
      <w:r>
        <w:t xml:space="preserve">(2) Der Gerichtsvollzieher händigt die in seinem Besitz befindliche Zulassungsbescheinigung Teil I dem Erwerber bei der Übergabe des Kraftfahrzeugs gegen Empfangsbestätigung aus.</w:t>
      </w:r>
    </w:p>
    <w:p>
      <w:r>
        <w:rPr>
          <w:color w:val="555555"/>
          <w:sz w:val="17"/>
        </w:rPr>
        <w:t xml:space="preserve">Zitiervorschlag: § 109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https://recht.nulegal.eu/gesetze/GVGA/109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