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108 GVGA (Bayern) — Zulassungsbescheinigung Teil I und Teil II</w:t>
      </w:r>
    </w:p>
    <w:p>
      <w:r>
        <w:rPr>
          <w:color w:val="555555"/>
          <w:sz w:val="18"/>
        </w:rPr>
        <w:t xml:space="preserve">Geschäftsanweisung für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Gerichtsvollzieher muss bei der Zwangsvollstreckung in Kraftfahrzeuge die Bedeutung der Zulassungsbescheinigung Teil I (früher: Fahrzeugschein) und Teil II (früher: Fahrzeugbrief) beachten.</w:t>
      </w:r>
    </w:p>
    <w:p>
      <w:r>
        <w:t xml:space="preserve">(2) Die Bestimmungen für Kraftfahrzeuge, amtliche Kennzeichen und Zulassungsbescheinigungen Teil I und Teil II gelten entsprechend für Anhänger.</w:t>
      </w:r>
    </w:p>
    <w:p>
      <w:r>
        <w:rPr>
          <w:color w:val="555555"/>
          <w:sz w:val="17"/>
        </w:rPr>
        <w:t xml:space="preserve">Zitiervorschlag: § 108 GVGA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https://recht.nulegal.eu/gesetze/GVGA/108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