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GVGA (Bayern) — Entfernung des Kraftfahrzeugs aus dem Gewahrsam des Schuldners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Pfändung eines Kraftfahrzeugs wird in der Regel davon auszugehen sein, dass die Befriedigung des Gläubigers gefährdet wird, wenn das Fahrzeug im Gewahrsam des Schuldners verbleibt (vergleiche § 808 ZPO). Der Gerichtsvollzieher nimmt das gepfändete Fahrzeug daher in Besitz, sofern nicht der Gläubiger damit einverstanden ist, dass es im Gewahrsam des Schuldners bleibt, oder eine Wegnahme aus sonstigen Gründen ausnahmsweise nicht erforderlich erscheint.</w:t>
      </w:r>
    </w:p>
    <w:p>
      <w:r>
        <w:t xml:space="preserve">(2) Kann der Gerichtsvollzieher – obwohl die gesetzlichen Voraussetzungen hierfür gegeben sind – das Fahrzeug nicht in Besitz nehmen (zum Beispiel wegen fehlender Unterbringungsmöglichkeiten) und erscheint die Wegnahme der Kraftfahrzeugpapiere (§§ 108 bis 110) nicht ausreichend, um eine missbräuchliche Benutzung des Kraftfahrzeugs zu verhindern, so muss der Gerichtsvollzieher weitere geeignete Sicherungsmaßnahmen treffen (zum Beispiel die Abnahme und Verwahrung des amtlichen Kennzeichens).</w:t>
      </w:r>
    </w:p>
    <w:p>
      <w:r>
        <w:rPr>
          <w:color w:val="555555"/>
          <w:sz w:val="17"/>
        </w:rPr>
        <w:t xml:space="preserve">Zitiervorschlag: § 107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