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GVGA (Bayern) — Pfändung von Wertpapieren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Zwangsvollstreckung wegen Geldforderungen werden Wertpapiere wie bewegliche körperliche Sachen behandelt. Sie werden dadurch gepfändet, dass der Gerichtsvollzieher sie in Besitz nimmt.</w:t>
      </w:r>
    </w:p>
    <w:p>
      <w:r>
        <w:t xml:space="preserve">(2) Zu den Wertpapieren nach Absatz 1 gehören alle Inhaberpapiere, auch wenn sie auf den Namen eines bestimmten Berechtigten umgeschrieben sind, sowie alle Aktien, auch wenn sie auf den Namen eines bestimmten Berechtigten lauten. Dagegen gehören Legitimationspapiere nicht dazu (zum Beispiel Sparbücher, Pfandscheine, Lebensversicherungspolicen).</w:t>
      </w:r>
    </w:p>
    <w:p>
      <w:r>
        <w:t xml:space="preserve">(3) Für die Pfändung von Forderungen aus Wechseln und anderen auf den Namen lautenden, aber durch Indossament übertragbaren Forderungspapieren gelten die Bestimmungen des § 123.</w:t>
      </w:r>
    </w:p>
    <w:p>
      <w:r>
        <w:t xml:space="preserve">(4) Inländische Banknoten sind bei der Zwangsvollstreckung nicht als Wertpapiere, sondern als bares Geld zu behandeln.</w:t>
      </w:r>
    </w:p>
    <w:p>
      <w:r>
        <w:rPr>
          <w:color w:val="555555"/>
          <w:sz w:val="17"/>
        </w:rPr>
        <w:t xml:space="preserve">Zitiervorschlag: § 104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https://recht.nulegal.eu/gesetze/GVGA/104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