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GVGA (Bayern) — Trennung der Früchte und Versteigerung (§ 824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Früchte dürfen vor der Reife nicht vom Boden getrennt werden. Ihre Versteigerung ist erst nach der Reife zulässig. Sie kann vor oder nach der Trennung der Früchte erfolgen. Hierüber entscheidet der Gerichtsvollzieher – gegebenenfalls nach Anhörung eines Sachverständigen – insbesondere mit Rücksicht darauf, auf welche Weise voraussichtlich ein höherer Erlös zu erzielen ist. Nach diesem Gesichtspunkt entscheidet er auch, ob die Versteigerung im Ganzen oder in einzelnen Teilen geschehen soll.</w:t>
      </w:r>
    </w:p>
    <w:p>
      <w:r>
        <w:t xml:space="preserve">(2) Sollen die reifen Früchte vor ihrer Aberntung versteigert werden, so hält der Gerichtsvollzieher den Termin in der Regel an Ort und Stelle ab. Sollen die Früchte nach der Trennung versteigert werden, so lässt sie der Gerichtsvollzieher durch eine zuverlässige Person abernten. Es ist nicht unbedingt ausgeschlossen, dass er hierfür auch den Schuldner wählt. Die Vergütung für die Aberntung vereinbart der Gerichtsvollzieher im Voraus. Er beaufsichtigt die Aberntung, soweit es erforderlich ist, um den Ertrag der Ernte mit Sicherheit festzustellen. Er sorgt auch dafür, dass die Ernte bis zur Versteigerung sicher untergebracht und verwahrt wird.</w:t>
      </w:r>
    </w:p>
    <w:p>
      <w:r>
        <w:t xml:space="preserve">(3) In den Versteigerungsbedingungen ist zu bestimmen, innerhalb welcher Zeit der Käufer die Früchte von dem Grund und Boden wegzuschaffen hat. Der Erlös darf erst ausgezahlt werden, wenn die Früchte weggeschafft sind oder die für ihre Fortschaffung bestimmte Frist verstrichen ist.</w:t>
      </w:r>
    </w:p>
    <w:p>
      <w:r>
        <w:t xml:space="preserve">(4) Wird dem Gerichtsvollzieher ein Gerichtsbeschluss vorgelegt, durch den die Zwangsvollstreckung in das Grundstück angeordnet ist, so stellt er die Zwangsvollstreckung einstweilen ein; er unterlässt also die Pfändung, die Aberntung und die Versteigerung der Früchte sowie – falls der Käufer die Früchte noch nicht an sich genommen hat – die Auszahlung des Erlöses. Wird die Zwangsversteigerung des Grundstücks angeordnet, so ist die Zwangsvollstreckung einzustellen, wenn die Beschlagnahme (§§ 20 bis 26 ZVG) erfolgt, solange die Früchte noch nicht vom Boden getrennt sind. Hat die Trennung schon stattgefunden, so ist die Vollstreckung trotz der Beschlagnahme fortzusetzen. Von der Einstellung der Zwangsvollstreckung ist der Gläubiger unverzüglich zu benachrichtigen.</w:t>
      </w:r>
    </w:p>
    <w:p>
      <w:r>
        <w:rPr>
          <w:color w:val="555555"/>
          <w:sz w:val="17"/>
        </w:rPr>
        <w:t xml:space="preserve">Zitiervorschlag: § 103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https://recht.nulegal.eu/gesetze/GVGA/103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