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GVGA (Bayern) — Zulässigkeit der Pfändung (§ 810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Früchte, die noch nicht vom Boden getrennt sind, können gepfändet werden, solange nicht ihre Beschlagnahme im Wege der Zwangsvollstreckung in das unbewegliche Vermögen erfolgt ist, und soweit sie nicht nach § 811 Absatz 1 Nummer 1 Buchstabe b ZPO unpfändbar sind. Diese Früchte werden jedoch von der Beschlagnahme dann nicht umfasst, wenn das Grundstück verpachtet ist (§ 21 Absatz 3 ZVG). Gegen den Pächter ist daher die Pfändung trotz der Beschlagnahme des Grundstücks zulässig, soweit ihr nicht § 811 Absatz 1 Nummer 1 Buchstabe b ZPO entgegensteht. Früchte im Sinne dieser Bestimmung sind nur die wiederkehrend geernteten Früchte (zum Beispiel Getreide, Hackfrüchte, Obst; dagegen nicht Holz auf dem Stamm, Torf, Kohle, Steine und Mineralien).</w:t>
      </w:r>
    </w:p>
    <w:p>
      <w:r>
        <w:t xml:space="preserve">(2) Die Pfändung darf nicht früher als einen Monat vor der gewöhnlichen Reife der Früchte erfolgen. Auf den bevorstehenden Eintritt der Reife achtet der Gerichtsvollzieher besonders, damit er den Versteigerungstermin so rechtzeitig ansetzen kann, dass nicht durch Überreife der Früchte Verluste entstehen können. Der Gerichtsvollzieher verpflichtet den Hauptverwaltungsbeamten der Gemeinde oder den etwa bestellten Hüter, ihm rechtzeitig von der herannahenden Ernte Kenntnis zu geben.</w:t>
      </w:r>
    </w:p>
    <w:p>
      <w:r>
        <w:rPr>
          <w:color w:val="555555"/>
          <w:sz w:val="17"/>
        </w:rPr>
        <w:t xml:space="preserve">Zitiervorschlag: § 101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https://recht.nulegal.eu/gesetze/GVGA/101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