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GVGA (Bayern) — Zustellungsaufträge mit Auslandsbezug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Gehen dem Gerichtsvollzieher Aufträge in einem Verfahren vor einer ausländischen (nichtdeutschen) Behörde unmittelbar von einer ausländischen Behörde, einem Beteiligten oder einem Beauftragten (zum Beispiel einem deutschen Rechtsanwalt oder Notar) zu, so legt er sie unerledigt seiner vorgesetzten Dienststelle vor und wartet ihre Weisungen ab (§ 126 der Rechtshilfeordnung für Zivilsachen (ZRHO)). Eine Vorlage ist nicht erforderlich, soweit</w:t>
      </w:r>
    </w:p>
    <w:p>
      <w:r>
        <w:t xml:space="preserve">1. ausländische Schuldtitel zur Vollstreckung geeignet sind (§§ 40, 41),</w:t>
      </w:r>
    </w:p>
    <w:p>
      <w:r>
        <w:t xml:space="preserve">2. auf der Grundlage des deutsch-britischen Rechtshilfeabkommens vom 20. März 1928 unmittelbare Zustellungen im Parteibetrieb erfolgen sollen,</w:t>
      </w:r>
    </w:p>
    <w:p>
      <w:r>
        <w:t xml:space="preserve">3. gerichtliche oder außergerichtliche Schriftstücke nach Artikel 20 und 21 der Verordnung (EU) 2020/1784 des Europäischen Parlaments und des Rates vom 25. November 2020 über die Zustellung gerichtlicher und außergerichtlicher Schriftstücke in Zivil- oder Handelssachen in den Mitgliedstaaten (Zustellung von Schriftstücken) (ABl. L 405 vom 02.12.2020, S. 40; ABl. L 173 vom 30.06.2022, S. 133) im Inland unmittelbar durch den Gerichtsvollzieher zugestellt werden können und dieser das hierbei zu beachtende Verfahren einhält.</w:t>
      </w:r>
    </w:p>
    <w:p>
      <w:r>
        <w:t xml:space="preserve">Der Empfänger hat ein Annahmeverweigerungsrecht von zwei Wochen, sofern das zuzustellende Schriftstück nicht in einer Sprache abgefasst oder in eine Sprache übersetzt ist, die er versteht oder die Amtssprache am Zustellungsort ist. Der Empfänger ist durch den Gerichtsvollzieher mit dem Formblatt L über sein Annahmeverweigerungsrecht zu belehren, sofern das zuzustellende Schriftstück nicht in der Amtssprache oder einer der Amtssprachen am Zustellungsort abgefasst oder in diese übersetzt ist (§ 109b Absatz 2 ZRHO in Verbindung mit § 101 ZRHO). Zu diesem Zweck sollte dem Zustellungsantrag erforderlichenfalls das Formblatt L in der oder einer der Amtssprachen des Ursprungsstaats und der oder einer der Amtssprachen am Zustellungsort beigefügt sein. Bei Anzeichen dafür, dass der Empfänger eine Amtssprache eines weiteren Mitgliedstaates versteht, ist das Formblatt auch in dieser Sprache beizufügen.</w:t>
      </w:r>
    </w:p>
    <w:p>
      <w:r>
        <w:t xml:space="preserve">(2) Aufträge zu Zustellungen nach Orten außerhalb des Bereichs deutscher Gerichtsbarkeit legt der Gerichtsvollzieher unerledigt seiner vorgesetzten Dienststelle vor und wartet ihre Weisung ab. Für Pfändungs- und Überweisungsbeschlüsse gelten die besonderen Bestimmungen nach § 15 Absatz 1 Satz 3.</w:t>
      </w:r>
    </w:p>
    <w:p>
      <w:r>
        <w:rPr>
          <w:color w:val="555555"/>
          <w:sz w:val="17"/>
        </w:rPr>
        <w:t xml:space="preserve">Zitiervorschlag: § 10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