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Wird in einem bei der Kammer für Handelssachen anhängigen Rechtsstreit die Klage nach § 256 Abs. 2 der Zivilprozeßordnung durch den Antrag auf Feststellung eines Rechtsverhältnisses erweitert oder eine Widerklage erhoben und gehört die erweiterte Klage oder die Widerklage als Klage nicht vor die Kammer für Handelssachen, so ist der Rechtsstreit auf Antrag des Gegners an die Zivilkammer zu verweisen.</w:t>
      </w:r>
    </w:p>
    <w:p>
      <w:r>
        <w:t xml:space="preserve">(2) Unter der Beschränkung des § 97 Abs. 2 ist die Kammer zu der Verweisung auch von Amts wegen befugt. Diese Befugnis tritt auch dann ein, wenn durch eine Klageänderung ein Anspruch geltend gemacht wird, der nicht vor die Kammer für Handelssachen gehört.</w:t>
      </w:r>
    </w:p>
    <w:p>
      <w:r>
        <w:rPr>
          <w:color w:val="555555"/>
          <w:sz w:val="17"/>
        </w:rPr>
        <w:t xml:space="preserve">Zitiervorschlag: § 99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