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74f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Hat im ersten Rechtszug eine Strafkammer die Anordnung der Sicherungsverwahrung vorbehalten oder im Fall des § 66b des Strafgesetzbuches als Tatgericht entschieden, ist diese Strafkammer im ersten Rechtszug für die Verhandlung und Entscheidung über die im Urteil vorbehaltene oder die nachträgliche Anordnung der Sicherungsverwahrung zuständig.</w:t>
      </w:r>
    </w:p>
    <w:p>
      <w:r>
        <w:t xml:space="preserve">(2) Hat im Fall des § 66b des Strafgesetzbuches im ersten Rechtszug ausschließlich das Amtsgericht als Tatgericht entschieden, ist im ersten Rechtszug eine Strafkammer des ihm übergeordneten Landgerichts für die Verhandlung und Entscheidung über die nachträgliche Anordnung der Sicherungsverwahrung zuständig.</w:t>
      </w:r>
    </w:p>
    <w:p>
      <w:r>
        <w:t xml:space="preserve">(3) Im Fall des § 66b des Strafgesetzbuches gilt § 462a Absatz 3 Satz 2 und 3 der Strafprozessordnung entsprechend.</w:t>
      </w:r>
    </w:p>
    <w:p>
      <w:r>
        <w:t xml:space="preserve">(4) In Verfahren, in denen über die im Urteil vorbehaltene oder die nachträgliche Anordnung der Sicherungsverwahrung zu entscheiden ist, ist die große Strafkammer mit drei Richtern einschließlich des Vorsitzenden und zwei Schöffen besetzt. Bei Entscheidungen außerhalb der Hauptverhandlung wirken die Schöffen nicht mit.</w:t>
      </w:r>
    </w:p>
    <w:p>
      <w:r>
        <w:rPr>
          <w:color w:val="555555"/>
          <w:sz w:val="17"/>
        </w:rPr>
        <w:t xml:space="preserve">Zitiervorschlag: § 74f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https://recht.nulegal.eu/gesetze/GVG/74f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