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74e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verschiedenen nach den Vorschriften der §§ 74 bis 74 d zuständigen Strafkammern kommt</w:t>
      </w:r>
    </w:p>
    <w:p>
      <w:pPr>
        <w:ind w:left="420"/>
      </w:pPr>
      <w:r>
        <w:t xml:space="preserve">1. in erster Linie dem Schwurgericht (§ 74 Abs. 2, § 74 d),</w:t>
      </w:r>
    </w:p>
    <w:p>
      <w:pPr>
        <w:ind w:left="420"/>
      </w:pPr>
      <w:r>
        <w:t xml:space="preserve">2. in zweiter Linie der Wirtschaftsstrafkammer (§ 74 c),</w:t>
      </w:r>
    </w:p>
    <w:p>
      <w:pPr>
        <w:ind w:left="420"/>
      </w:pPr>
      <w:r>
        <w:t xml:space="preserve">3. in dritter Linie der Strafkammer nach § 74 a</w:t>
      </w:r>
    </w:p>
    <w:p>
      <w:r>
        <w:t xml:space="preserve">der Vorrang zu.</w:t>
      </w:r>
    </w:p>
    <w:p>
      <w:r>
        <w:rPr>
          <w:color w:val="555555"/>
          <w:sz w:val="17"/>
        </w:rPr>
        <w:t xml:space="preserve">Zitiervorschlag: § 74e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https://recht.nulegal.eu/gesetze/GVG/74e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