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74d GVG</w:t>
      </w:r>
    </w:p>
    <w:p>
      <w:r>
        <w:rPr>
          <w:color w:val="555555"/>
          <w:sz w:val="18"/>
        </w:rPr>
        <w:t xml:space="preserve">Gerichtsverfassungsgesetz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Landesregierungen werden ermächtigt, durch Rechtsverordnung einem Landgericht für die Bezirke mehrerer Landgerichte die in § 74 Abs. 2 bezeichneten Strafsachen zuzuweisen, sofern dies der sachlichen Förderung der Verfahren dient. Die Landesregierungen können die Ermächtigung auf die Landesjustizverwaltungen übertragen.</w:t>
      </w:r>
    </w:p>
    <w:p>
      <w:r>
        <w:t xml:space="preserve">(2) (weggefallen)</w:t>
      </w:r>
    </w:p>
    <w:p>
      <w:r>
        <w:rPr>
          <w:color w:val="555555"/>
          <w:sz w:val="17"/>
        </w:rPr>
        <w:t xml:space="preserve">Zitiervorschlag: § 74d GVG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https://recht.nulegal.eu/gesetze/GVG/74d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