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GVG</w:t>
      </w:r>
    </w:p>
    <w:p>
      <w:r>
        <w:rPr>
          <w:color w:val="555555"/>
          <w:sz w:val="18"/>
        </w:rPr>
        <w:t xml:space="preserve">Gerichtsverfassungsgesetz</w:t>
      </w:r>
    </w:p>
    <w:p>
      <w:r>
        <w:rPr>
          <w:color w:val="555555"/>
          <w:sz w:val="18"/>
        </w:rPr>
        <w:t xml:space="preserve">Stand: 01.12.2020 (konsolidierte Textfassung, kein amtliches Inkrafttretensdatum)</w:t>
      </w:r>
    </w:p>
    <w:p>
      <w:r>
        <w:t xml:space="preserve">(1) Die Zivilkammern, einschließlich der Kammern für Handelssachen und der in § 72a genannten Kammern, sind die Berufungs- und Beschwerdegerichte in den vor den Amtsgerichten verhandelten bürgerlichen Rechtsstreitigkeiten, soweit nicht die Zuständigkeit der Oberlandesgerichte begründet ist. Die Landgerichte sind ferner die Beschwerdegerichte in Freiheitsentziehungssachen und in den von den Betreuungsgerichten entschiedenen Sachen.</w:t>
      </w:r>
    </w:p>
    <w:p>
      <w:r>
        <w:t xml:space="preserve">(2) In Streitigkeiten nach § 43 Absatz 2 des Wohnungseigentumsgesetzes ist das für den Sitz des Oberlandesgerichts zuständige Landgericht gemeinsames Berufungs- und Beschwerdegericht für den Bezirk des Oberlandesgerichts, in dem das Amtsgericht seinen Sitz hat. Die Landesregierungen werden ermächtigt, durch Rechtsverordnung anstelle dieses Gerichts ein anderes Landgericht im Bezirk des Oberlandesgerichts zu bestimmen. Sie können die Ermächtigung auf die Landesjustizverwaltungen übertragen.</w:t>
      </w:r>
    </w:p>
    <w:p>
      <w:r>
        <w:rPr>
          <w:color w:val="555555"/>
          <w:sz w:val="17"/>
        </w:rPr>
        <w:t xml:space="preserve">Zitiervorschlag: § 72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