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Vertretung eines Mitgliedes nicht durch ein Mitglied desselben Gerichts möglich ist, wird sie auf den Antrag des Präsidiums durch die Landesjustizverwaltung geordnet.</w:t>
      </w:r>
    </w:p>
    <w:p>
      <w:r>
        <w:t xml:space="preserve">(2) Die Beiordnung eines Richters auf Probe oder eines Richters kraft Auftrags ist auf eine bestimmte Zeit auszusprechen und darf vor Ablauf dieser Zeit nicht widerrufen werden.</w:t>
      </w:r>
    </w:p>
    <w:p>
      <w:r>
        <w:t xml:space="preserve">(3) Unberührt bleiben die landesgesetzlichen Vorschriften, nach denen richterliche Geschäfte nur von auf Lebenszeit ernannten Richtern wahrgenommen werden können, sowie die, welche die Vertretung durch auf Lebenszeit ernannte Richter regeln.</w:t>
      </w:r>
    </w:p>
    <w:p>
      <w:r>
        <w:rPr>
          <w:color w:val="555555"/>
          <w:sz w:val="17"/>
        </w:rPr>
        <w:t xml:space="preserve">Zitiervorschlag: § 70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