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Bei jedem Landgericht werden, soweit nichts anders bestimmt ist, sowohl Zivil- als auch Strafkammern gebildet.</w:t>
      </w:r>
    </w:p>
    <w:p>
      <w:r>
        <w:t xml:space="preserve">(2) Die Landesregierungen werden ermächtigt, durch Rechtsverordnung bei einem Landgericht mit mindestens 100 Richterstellen ausschließlich Zivil- oder Strafkammern zu bilden und diesem für die Bezirke mehrerer Landgerichte die Zivil- oder Strafsachen zuzuweisen. Die Landesregierungen können die Ermächtigung nach Satz 1 auf die Landesjustizverwaltungen übertragen.</w:t>
      </w:r>
    </w:p>
    <w:p>
      <w:r>
        <w:rPr>
          <w:color w:val="555555"/>
          <w:sz w:val="17"/>
        </w:rPr>
        <w:t xml:space="preserve">Zitiervorschlag: § 60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