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Landgerichte werden mit einem Präsidenten sowie mit Vorsitzenden Richtern und weiteren Richtern besetzt.</w:t>
      </w:r>
    </w:p>
    <w:p>
      <w:r>
        <w:t xml:space="preserve">(2) Den Richtern kann gleichzeitig ein weiteres Richteramt bei einem Amtsgericht übertragen werden.</w:t>
      </w:r>
    </w:p>
    <w:p>
      <w:r>
        <w:t xml:space="preserve">(3) Es können Richter auf Probe und Richter kraft Auftrags verwendet werden.</w:t>
      </w:r>
    </w:p>
    <w:p>
      <w:r>
        <w:rPr>
          <w:color w:val="555555"/>
          <w:sz w:val="17"/>
        </w:rPr>
        <w:t xml:space="preserve">Zitiervorschlag: § 59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