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Gegen Schöffen und Vertrauenspersonen des Ausschusses, die sich ohne genügende Entschuldigung zu den Sitzungen nicht rechtzeitig einfinden oder sich ihren Obliegenheiten in anderer Weise entziehen, wird ein Ordnungsgeld festgesetzt. Zugleich werden ihnen auch die verursachten Kosten auferlegt.</w:t>
      </w:r>
    </w:p>
    <w:p>
      <w:r>
        <w:t xml:space="preserve">(2) Die Entscheidung trifft der Richter beim Amtsgericht nach Anhörung der Staatsanwaltschaft. Bei nachträglicher genügender Entschuldigung kann die Entscheidung ganz oder zum Teil zurückgenommen werden. Gegen die Entscheidung ist Beschwerde des Betroffenen nach den Vorschriften der Strafprozeßordnung zulässig.</w:t>
      </w:r>
    </w:p>
    <w:p>
      <w:r>
        <w:rPr>
          <w:color w:val="555555"/>
          <w:sz w:val="17"/>
        </w:rPr>
        <w:t xml:space="preserve">Zitiervorschlag: § 56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