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GVG</w:t>
      </w:r>
    </w:p>
    <w:p>
      <w:r>
        <w:rPr>
          <w:color w:val="555555"/>
          <w:sz w:val="18"/>
        </w:rPr>
        <w:t xml:space="preserve">Gerichtsverfassungsgesetz</w:t>
      </w:r>
    </w:p>
    <w:p>
      <w:r>
        <w:rPr>
          <w:color w:val="555555"/>
          <w:sz w:val="18"/>
        </w:rPr>
        <w:t xml:space="preserve">Stand: 01.07.2021 (konsolidierte Textfassung, kein amtliches Inkrafttretensdatum)</w:t>
      </w:r>
    </w:p>
    <w:p>
      <w:r>
        <w:t xml:space="preserve">(1) Ein Schöffe ist von der Schöffenliste zu streichen, wenn</w:t>
      </w:r>
    </w:p>
    <w:p>
      <w:pPr>
        <w:ind w:left="420"/>
      </w:pPr>
      <w:r>
        <w:t xml:space="preserve">1. seine Unfähigkeit zum Amt eines Schöffen eintritt oder bekannt wird, oder</w:t>
      </w:r>
    </w:p>
    <w:p>
      <w:pPr>
        <w:ind w:left="420"/>
      </w:pPr>
      <w:r>
        <w:t xml:space="preserve">2. Umstände eintreten oder bekannt werden, bei deren Vorhandensein eine Berufung zum Schöffenamt nicht erfolgen soll.</w:t>
      </w:r>
    </w:p>
    <w:p>
      <w:r>
        <w:t xml:space="preserve">Im Falle des § 33 Nr. 3 gilt dies jedoch nur, wenn der Schöffe seinen Wohnsitz im Landgerichtsbezirk aufgibt.</w:t>
      </w:r>
    </w:p>
    <w:p>
      <w:r>
        <w:t xml:space="preserve">(2) Auf seinen Antrag ist ein Schöffe aus der Schöffenliste zu streichen, wenn er</w:t>
      </w:r>
    </w:p>
    <w:p>
      <w:pPr>
        <w:ind w:left="420"/>
      </w:pPr>
      <w:r>
        <w:t xml:space="preserve">1. seinen Wohnsitz im Amtsgerichtsbezirk, in dem er tätig ist, aufgibt oder</w:t>
      </w:r>
    </w:p>
    <w:p>
      <w:pPr>
        <w:ind w:left="420"/>
      </w:pPr>
      <w:r>
        <w:t xml:space="preserve">2. während eines Geschäftsjahres an mehr als 24 Sitzungstagen an Sitzungen teilgenommen hat.</w:t>
      </w:r>
    </w:p>
    <w:p>
      <w:r>
        <w:t xml:space="preserve">Bei Hauptschöffen wird die Streichung nur für Sitzungen wirksam, die später als zwei Wochen nach dem Tag beginnen, an dem der Antrag bei der Schöffengeschäftsstelle eingeht. Ist einem Ersatzschöffen eine Mitteilung über seine Heranziehung zu einem bestimmten Sitzungstag bereits zugegangen, so wird seine Streichung erst nach Abschluß der an diesem Sitzungstag begonnenen Hauptverhandlung wirksam.</w:t>
      </w:r>
    </w:p>
    <w:p>
      <w:r>
        <w:t xml:space="preserve">(3) Ist der Schöffe verstorben oder aus dem Landgerichtsbezirk verzogen, ordnet der Richter beim Amtsgericht seine Streichung an. Im Übrigen entscheidet er nach Anhörung der Staatsanwaltschaft und des beteiligten Schöffen.</w:t>
      </w:r>
    </w:p>
    <w:p>
      <w:r>
        <w:t xml:space="preserve">(4) Die Entscheidung ist nicht anfechtbar.</w:t>
      </w:r>
    </w:p>
    <w:p>
      <w:r>
        <w:t xml:space="preserve">(5) Wird ein Ersatzschöffe in die Hauptschöffenliste übertragen, so gehen die Dienstleistungen vor, zu denen er zuvor als Ersatzschöffe herangezogen war.</w:t>
      </w:r>
    </w:p>
    <w:p>
      <w:r>
        <w:t xml:space="preserve">(6) Hat sich die ursprüngliche Zahl der Ersatzschöffen in der Ersatzschöffenliste auf die Hälfte verringert, so findet aus den vorhandenen Vorschlagslisten eine Ergänzungswahl durch den Ausschuß statt, der die Schöffenwahl vorgenommen hatte. Der Richter beim Amtsgericht kann von der Ergänzungswahl absehen, wenn sie in den letzten sechs Monaten des Zeitraums stattfinden müßte, für den die Schöffen gewählt sind. Für die Bestimmung der Reihenfolge der neuen Ersatzschöffen gilt § 45 entsprechend mit der Maßgabe, daß die Plätze im Anschluß an den im Zeitpunkt der Auslosung an letzter Stelle der Ersatzschöffenliste stehenden Schöffen ausgelost werden.</w:t>
      </w:r>
    </w:p>
    <w:p>
      <w:r>
        <w:rPr>
          <w:color w:val="555555"/>
          <w:sz w:val="17"/>
        </w:rPr>
        <w:t xml:space="preserve">Zitiervorschlag: § 52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