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Schöffe ist seines Amtes zu entheben, wenn er seine Amtspflichten gröblich verletzt hat.</w:t>
      </w:r>
    </w:p>
    <w:p>
      <w:r>
        <w:t xml:space="preserve">(2) Die Entscheidung trifft ein Strafsenat des Oberlandesgerichts auf Antrag des Richters beim Amtsgericht durch Beschluss nach Anhörung der Staatsanwaltschaft und des beteiligten Schöffen. Die Entscheidung ist nicht anfechtbar.</w:t>
      </w:r>
    </w:p>
    <w:p>
      <w:r>
        <w:t xml:space="preserve">(3) Der nach Absatz 2 Satz 1 zuständige Senat kann anordnen, dass der Schöffe bis zur Entscheidung über die Amtsenthebung nicht zu Sitzungen heranzuziehen ist. Die Anordnung ist nicht anfechtbar.</w:t>
      </w:r>
    </w:p>
    <w:p>
      <w:r>
        <w:rPr>
          <w:color w:val="555555"/>
          <w:sz w:val="17"/>
        </w:rPr>
        <w:t xml:space="preserve">Zitiervorschlag: § 51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