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Ergänzungsschöffen (§ 192 Abs. 2, 3) werden aus der Ersatzschöffenliste zugewiesen.</w:t>
      </w:r>
    </w:p>
    <w:p>
      <w:r>
        <w:t xml:space="preserve">(2) Im Fall der Verhinderung eines Hauptschöffen tritt der zunächst zugewiesene Ergänzungsschöffe auch dann an seine Stelle, wenn die Verhinderung vor Beginn der Sitzung bekannt wird.</w:t>
      </w:r>
    </w:p>
    <w:p>
      <w:r>
        <w:rPr>
          <w:color w:val="555555"/>
          <w:sz w:val="17"/>
        </w:rPr>
        <w:t xml:space="preserve">Zitiervorschlag: § 48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