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GVG</w:t>
      </w:r>
    </w:p>
    <w:p>
      <w:r>
        <w:rPr>
          <w:color w:val="555555"/>
          <w:sz w:val="18"/>
        </w:rPr>
        <w:t xml:space="preserve">Gerichtsverfassungsgesetz</w:t>
      </w:r>
    </w:p>
    <w:p>
      <w:r>
        <w:rPr>
          <w:color w:val="555555"/>
          <w:sz w:val="18"/>
        </w:rPr>
        <w:t xml:space="preserve">Stand: 01.07.2021 (konsolidierte Textfassung, kein amtliches Inkrafttretensdatum)</w:t>
      </w:r>
    </w:p>
    <w:p>
      <w:r>
        <w:t xml:space="preserve">Wird bei einem Amtsgericht während des Geschäftsjahres ein weiteres Schöffengericht gebildet, so werden für dessen ordentliche Sitzungen die benötigten Hauptschöffen gemäß § 45 Abs. 1, 2 Satz 1, Abs. 3, 4 aus der Ersatzschöffenliste ausgelost. Die ausgelosten Schöffen werden in der Ersatzschöffenliste gestrichen.</w:t>
      </w:r>
    </w:p>
    <w:p>
      <w:r>
        <w:rPr>
          <w:color w:val="555555"/>
          <w:sz w:val="17"/>
        </w:rPr>
        <w:t xml:space="preserve">Zitiervorschlag: § 46 GVG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https://recht.nulegal.eu/gesetze/GVG/46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