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für jedes Amtsgericht erforderliche Zahl von Haupt- und Ersatzschöffen wird durch den Präsidenten des Landgerichts (Präsidenten des Amtsgerichts) bestimmt.</w:t>
      </w:r>
    </w:p>
    <w:p>
      <w:r>
        <w:t xml:space="preserve">(2) Die Zahl der Hauptschöffen ist so zu bemessen, daß voraussichtlich jeder zu nicht mehr als zwölf ordentlichen Sitzungstagen im Jahr herangezogen wird.</w:t>
      </w:r>
    </w:p>
    <w:p>
      <w:r>
        <w:rPr>
          <w:color w:val="555555"/>
          <w:sz w:val="17"/>
        </w:rPr>
        <w:t xml:space="preserve">Zitiervorschlag: § 43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