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Gemeindevorsteher sendet die Vorschlagsliste nebst den Einsprüchen an den Richter beim Amtsgericht des Bezirks.</w:t>
      </w:r>
    </w:p>
    <w:p>
      <w:r>
        <w:t xml:space="preserve">(2) Wird nach Absendung der Vorschlagsliste ihre Berichtigung erforderlich, so hat der Gemeindevorsteher hiervon dem Richter beim Amtsgericht Anzeige zu machen.</w:t>
      </w:r>
    </w:p>
    <w:p>
      <w:r>
        <w:rPr>
          <w:color w:val="555555"/>
          <w:sz w:val="17"/>
        </w:rPr>
        <w:t xml:space="preserve">Zitiervorschlag: § 38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