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dem Amt eines Schöffen sollen ferner nicht berufen werden:</w:t>
      </w:r>
    </w:p>
    <w:p>
      <w:pPr>
        <w:ind w:left="420"/>
      </w:pPr>
      <w:r>
        <w:t xml:space="preserve">1. der Bundespräsident;</w:t>
      </w:r>
    </w:p>
    <w:p>
      <w:pPr>
        <w:ind w:left="420"/>
      </w:pPr>
      <w:r>
        <w:t xml:space="preserve">2. die Mitglieder der Bundesregierung oder einer Landesregierung;</w:t>
      </w:r>
    </w:p>
    <w:p>
      <w:pPr>
        <w:ind w:left="420"/>
      </w:pPr>
      <w:r>
        <w:t xml:space="preserve">3. Beamte, die jederzeit einstweilig in den Warte- oder Ruhestand versetzt werden können;</w:t>
      </w:r>
    </w:p>
    <w:p>
      <w:pPr>
        <w:ind w:left="420"/>
      </w:pPr>
      <w:r>
        <w:t xml:space="preserve">4. Richter und Beamte der Staatsanwaltschaft, Notare und Rechtsanwälte;</w:t>
      </w:r>
    </w:p>
    <w:p>
      <w:pPr>
        <w:ind w:left="420"/>
      </w:pPr>
      <w:r>
        <w:t xml:space="preserve">5. gerichtliche Vollstreckungsbeamte, Polizeivollzugsbeamte, Bedienstete des Strafvollzugs sowie hauptamtliche Bewährungs- und Gerichtshelfer;</w:t>
      </w:r>
    </w:p>
    <w:p>
      <w:pPr>
        <w:ind w:left="420"/>
      </w:pPr>
      <w:r>
        <w:t xml:space="preserve">6. Religionsdiener und Mitglieder solcher religiösen Vereinigungen, die satzungsgemäß zum gemeinsamen Leben verpflichtet sind.</w:t>
      </w:r>
    </w:p>
    <w:p>
      <w:r>
        <w:t xml:space="preserve">(2) Die Landesgesetze können außer den vorbezeichneten Beamten höhere Verwaltungsbeamte bezeichnen, die zu dem Amt eines Schöffen nicht berufen werden sollen.</w:t>
      </w:r>
    </w:p>
    <w:p>
      <w:r>
        <w:rPr>
          <w:color w:val="555555"/>
          <w:sz w:val="17"/>
        </w:rPr>
        <w:t xml:space="preserve">Zitiervorschlag: § 34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