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dem Amt eines Schöffen sollen nicht berufen werden:</w:t>
      </w:r>
    </w:p>
    <w:p>
      <w:pPr>
        <w:ind w:left="420"/>
      </w:pPr>
      <w:r>
        <w:t xml:space="preserve">1. Personen, die bei Beginn der Amtsperiode das fünfundzwanzigste Lebensjahr noch nicht vollendet haben würden;</w:t>
      </w:r>
    </w:p>
    <w:p>
      <w:pPr>
        <w:ind w:left="420"/>
      </w:pPr>
      <w:r>
        <w:t xml:space="preserve">2. Personen, die das siebzigste Lebensjahr vollendet haben oder es bis zum Beginn der Amtsperiode vollenden würden;</w:t>
      </w:r>
    </w:p>
    <w:p>
      <w:pPr>
        <w:ind w:left="420"/>
      </w:pPr>
      <w:r>
        <w:t xml:space="preserve">3. Personen, die zur Zeit der Aufstellung der Vorschlagsliste nicht in der Gemeinde wohnen;</w:t>
      </w:r>
    </w:p>
    <w:p>
      <w:pPr>
        <w:ind w:left="420"/>
      </w:pPr>
      <w:r>
        <w:t xml:space="preserve">4. Personen, die aus gesundheitlichen Gründen für das Amt nicht geeignet sind;</w:t>
      </w:r>
    </w:p>
    <w:p>
      <w:pPr>
        <w:ind w:left="420"/>
      </w:pPr>
      <w:r>
        <w:t xml:space="preserve">5. Personen, die mangels ausreichender Beherrschung der deutschen Sprache für das Amt nicht geeignet sind;</w:t>
      </w:r>
    </w:p>
    <w:p>
      <w:pPr>
        <w:ind w:left="420"/>
      </w:pPr>
      <w:r>
        <w:t xml:space="preserve">6. Personen, die in Vermögensverfall geraten sind.</w:t>
      </w:r>
    </w:p>
    <w:p>
      <w:r>
        <w:rPr>
          <w:color w:val="555555"/>
          <w:sz w:val="17"/>
        </w:rPr>
        <w:t xml:space="preserve">Zitiervorschlag: § 33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