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Insoweit das Gesetz nicht Ausnahmen bestimmt, üben die Schöffen während der Hauptverhandlung das Richteramt in vollem Umfang und mit gleichem Stimmrecht wie die Richter beim Amtsgericht aus und nehmen auch an den im Laufe einer Hauptverhandlung zu erlassenden Entscheidungen teil, die in keiner Beziehung zu der Urteilsfällung stehen und die auch ohne mündliche Verhandlung erlassen werden können.</w:t>
      </w:r>
    </w:p>
    <w:p>
      <w:r>
        <w:t xml:space="preserve">(2) Die außerhalb der Hauptverhandlung erforderlichen Entscheidungen werden von dem Richter beim Amtsgericht erlassen.</w:t>
      </w:r>
    </w:p>
    <w:p>
      <w:r>
        <w:rPr>
          <w:color w:val="555555"/>
          <w:sz w:val="17"/>
        </w:rPr>
        <w:t xml:space="preserve">Zitiervorschlag: § 30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