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Richter beim Amtsgericht entscheidet als Strafrichter bei Vergehen,</w:t>
      </w:r>
    </w:p>
    <w:p>
      <w:pPr>
        <w:ind w:left="420"/>
      </w:pPr>
      <w:r>
        <w:t xml:space="preserve">1. wenn sie im Wege der Privatklage verfolgt werden oder</w:t>
      </w:r>
    </w:p>
    <w:p>
      <w:pPr>
        <w:ind w:left="420"/>
      </w:pPr>
      <w:r>
        <w:t xml:space="preserve">2. wenn eine höhere Strafe als Freiheitsstrafe von zwei Jahren nicht zu erwarten ist.</w:t>
      </w:r>
    </w:p>
    <w:p>
      <w:r>
        <w:rPr>
          <w:color w:val="555555"/>
          <w:sz w:val="17"/>
        </w:rPr>
        <w:t xml:space="preserve">Zitiervorschlag: § 25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