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GVG</w:t>
      </w:r>
    </w:p>
    <w:p>
      <w:r>
        <w:rPr>
          <w:color w:val="555555"/>
          <w:sz w:val="18"/>
        </w:rPr>
        <w:t xml:space="preserve">Gerichtsverfassungsgesetz</w:t>
      </w:r>
    </w:p>
    <w:p>
      <w:r>
        <w:rPr>
          <w:color w:val="555555"/>
          <w:sz w:val="18"/>
        </w:rPr>
        <w:t xml:space="preserve">Stand: 02.07.2019 (konsolidierte Textfassung, kein amtliches Inkrafttretensdatum)</w:t>
      </w:r>
    </w:p>
    <w:p>
      <w:r>
        <w:t xml:space="preserve">Die Landesregierungen werden ermächtigt, durch Rechtsverordnung einem Amtsgericht für die Bezirke mehrerer Amtsgerichte die Familiensachen sowie ganz oder teilweise die Handelssachen, die Angelegenheiten der freiwilligen Gerichtsbarkeit und Entscheidungen über Maßnahmen, die nach den Vollzugsgesetzen der vorherigen gerichtlichen Anordnung oder gerichtlichen Genehmigung bedürfen zuzuweisen, sofern die Zusammenfassung der sachlichen Förderung der Verfahren dient oder zur Sicherung einer einheitlichen Rechtsprechung geboten erscheint. Die Landesregierungen können die Ermächtigungen auf die Landesjustizverwaltungen übertragen.</w:t>
      </w:r>
    </w:p>
    <w:p>
      <w:r>
        <w:rPr>
          <w:color w:val="555555"/>
          <w:sz w:val="17"/>
        </w:rPr>
        <w:t xml:space="preserve">Zitiervorschlag: § 23d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