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23c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den Amtsgerichten werden Abteilungen für Betreuungssachen, Unterbringungssachen und betreuungsgerichtliche Zuweisungssachen (Betreuungsgerichte) gebildet.</w:t>
      </w:r>
    </w:p>
    <w:p>
      <w:r>
        <w:t xml:space="preserve">(2) Die Betreuungsgerichte werden mit Betreuungsrichtern besetzt. Ein Richter auf Probe darf im ersten Jahr nach seiner Ernennung Geschäfte des Betreuungsrichters nicht wahrnehmen.</w:t>
      </w:r>
    </w:p>
    <w:p>
      <w:r>
        <w:rPr>
          <w:color w:val="555555"/>
          <w:sz w:val="17"/>
        </w:rPr>
        <w:t xml:space="preserve">Zitiervorschlag: § 23c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