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GVG</w:t>
      </w:r>
    </w:p>
    <w:p>
      <w:r>
        <w:rPr>
          <w:color w:val="555555"/>
          <w:sz w:val="18"/>
        </w:rPr>
        <w:t xml:space="preserve">Gerichtsverfassungsgesetz</w:t>
      </w:r>
    </w:p>
    <w:p>
      <w:r>
        <w:rPr>
          <w:color w:val="555555"/>
          <w:sz w:val="18"/>
        </w:rPr>
        <w:t xml:space="preserve">Stand: 01.01.2026 (konsolidierte Textfassung, kein amtliches Inkrafttretensdatum)</w:t>
      </w:r>
    </w:p>
    <w:p>
      <w:r>
        <w:t xml:space="preserve">Die Zuständigkeit der Amtsgerichte umfaßt in bürgerlichen Rechtsstreitigkeiten, soweit sie nicht ohne Rücksicht auf den Wert des Streitgegenstandes den Landgerichten zugewiesen sind:</w:t>
      </w:r>
    </w:p>
    <w:p>
      <w:pPr>
        <w:ind w:left="420"/>
      </w:pPr>
      <w:r>
        <w:t xml:space="preserve">1. Streitigkeiten über Ansprüche, deren Gegenstand an Geld oder Geldeswert die Summe von zehntausend Euro nicht übersteigt;</w:t>
      </w:r>
    </w:p>
    <w:p>
      <w:pPr>
        <w:ind w:left="420"/>
      </w:pPr>
      <w:r>
        <w:t xml:space="preserve">2. ohne Rücksicht auf den Wert des Streitgegenstandes:</w:t>
      </w:r>
    </w:p>
    <w:p>
      <w:pPr>
        <w:ind w:left="780"/>
      </w:pPr>
      <w:r>
        <w:t xml:space="preserve">a) Streitigkeiten über Ansprüche aus einem Mietverhältnis über Wohnraum oder über den Bestand eines solchen Mietverhältnisses; diese Zuständigkeit ist ausschließlich;</w:t>
      </w:r>
    </w:p>
    <w:p>
      <w:pPr>
        <w:ind w:left="780"/>
      </w:pPr>
      <w:r>
        <w:t xml:space="preserve">b) Streitigkeiten zwischen Reisenden und Wirten, Fuhrleuten, Schiffern oder Auswanderungsexpedienten in den Einschiffungshäfen, die über Wirtszechen, Fuhrlohn, Überfahrtsgelder, Beförderung der Reisenden und ihrer Habe und über Verlust und Beschädigung der letzteren, sowie Streitigkeiten zwischen Reisenden und Handwerkern, die aus Anlaß der Reise entstanden sind;</w:t>
      </w:r>
    </w:p>
    <w:p>
      <w:pPr>
        <w:ind w:left="780"/>
      </w:pPr>
      <w:r>
        <w:t xml:space="preserve">c) Streitigkeiten nach § 43 Absatz 2 des Wohnungseigentumsgesetzes; diese Zuständigkeit ist ausschließlich;</w:t>
      </w:r>
    </w:p>
    <w:p>
      <w:pPr>
        <w:ind w:left="780"/>
      </w:pPr>
      <w:r>
        <w:t xml:space="preserve">d) Streitigkeiten wegen Wildschadens;</w:t>
      </w:r>
    </w:p>
    <w:p>
      <w:pPr>
        <w:ind w:left="780"/>
      </w:pPr>
      <w:r>
        <w:t xml:space="preserve">e) Streitigkeiten über Ansprüche aus dem Nachbarrecht nach den §§ 910, 911, 923 des Bürgerlichen Gesetzbuchs und nach § 906 des Bürgerlichen Gesetzbuchs sowie nach den landesgesetzlichen Vorschriften im Sinne des Artikels 124 des Einführungsgesetzes zum Bürgerlichen Gesetzbuche, sofern es sich nicht um Einwirkungen von einem gewerblichen Betrieb handelt;</w:t>
      </w:r>
    </w:p>
    <w:p>
      <w:pPr>
        <w:ind w:left="780"/>
      </w:pPr>
      <w:r>
        <w:t xml:space="preserve">f) (weggefallen)</w:t>
      </w:r>
    </w:p>
    <w:p>
      <w:pPr>
        <w:ind w:left="780"/>
      </w:pPr>
      <w:r>
        <w:t xml:space="preserve">g) Ansprüche aus einem mit der Überlassung eines Grundstücks in Verbindung stehenden Leibgedings-, Leibzuchts-, Altenteils- oder Auszugsvertrag.</w:t>
      </w:r>
    </w:p>
    <w:p>
      <w:r>
        <w:rPr>
          <w:color w:val="555555"/>
          <w:sz w:val="17"/>
        </w:rPr>
        <w:t xml:space="preserve">Zitiervorschlag: § 23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