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GVG</w:t>
      </w:r>
    </w:p>
    <w:p>
      <w:r>
        <w:rPr>
          <w:color w:val="555555"/>
          <w:sz w:val="18"/>
        </w:rPr>
        <w:t xml:space="preserve">Gerichtsverfassungsgesetz</w:t>
      </w:r>
    </w:p>
    <w:p>
      <w:r>
        <w:rPr>
          <w:color w:val="555555"/>
          <w:sz w:val="18"/>
        </w:rPr>
        <w:t xml:space="preserve">Stand: 01.01.2022 (konsolidierte Textfassung, kein amtliches Inkrafttretensdatum)</w:t>
      </w:r>
    </w:p>
    <w:p>
      <w:r>
        <w:t xml:space="preserve">(1) Den Amtsgerichten stehen Einzelrichter vor.</w:t>
      </w:r>
    </w:p>
    <w:p>
      <w:r>
        <w:t xml:space="preserve">(2) Einem Richter beim Amtsgericht kann zugleich ein weiteres Richteramt bei einem anderen Amtsgericht oder bei einem Landgericht übertragen werden.</w:t>
      </w:r>
    </w:p>
    <w:p>
      <w:r>
        <w:t xml:space="preserve">(3) Die allgemeine Dienstaufsicht kann von der Landesjustizverwaltung dem Präsidenten des übergeordneten Landgerichts übertragen werden. Geschieht dies nicht, so ist, wenn das Amtsgericht mit mehreren Richtern besetzt ist, einem von ihnen von der Landesjustizverwaltung die allgemeine Dienstaufsicht zu übertragen.</w:t>
      </w:r>
    </w:p>
    <w:p>
      <w:r>
        <w:t xml:space="preserve">(4) Jeder Richter beim Amtsgericht erledigt die ihm obliegenden Geschäfte, soweit dieses Gesetz nichts anderes bestimmt, als Einzelrichter.</w:t>
      </w:r>
    </w:p>
    <w:p>
      <w:r>
        <w:t xml:space="preserve">(5) Es können Richter kraft Auftrags verwendet werden. Richter auf Probe können verwendet werden, soweit sich aus Absatz 6, § 23b Absatz 3 Satz 2 bis 5, § 23c Abs. 2 oder § 29 Abs. 1 Satz 2 nichts anderes ergibt.</w:t>
      </w:r>
    </w:p>
    <w:p>
      <w:r>
        <w:t xml:space="preserve">(6) Ein Richter auf Probe darf im ersten Jahr nach seiner Ernennung Geschäfte in Insolvenz- und Restrukturierungssachen nicht wahrnehmen. Richter in Insolvenz- und Restrukturierungssachen sollen, soweit dies zur Erfüllung der jeweiligen Richtergeschäftsaufgabe erforderlich ist, über belegbare Kenntnisse auf den Gebieten des Insolvenzrechts, des Restrukturierungsrechts, des Handels- und Gesellschaftsrechts sowie über Grundkenntnisse der für das Insolvenz- und Restrukturierungsverfahren notwendigen Teile des Arbeits-, Sozial- und Steuerrechts und des Rechnungswesens verfügen. Einem Richter, dessen Kenntnisse auf diesen Gebieten nicht belegt sind, dürfen die Aufgaben eines Insolvenz- oder Restrukturierungsrichters nur zugewiesen werden, wenn der Erwerb der Kenntnisse alsbald zu erwarten ist.</w:t>
      </w:r>
    </w:p>
    <w:p>
      <w:r>
        <w:rPr>
          <w:color w:val="555555"/>
          <w:sz w:val="17"/>
        </w:rPr>
        <w:t xml:space="preserve">Zitiervorschlag: § 22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