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21j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 Gericht errichtet und ist das Präsidium nach § 21a Abs. 2 Nr. 1 bis 4 zu bilden, so werden die in § 21e bezeichneten Anordnungen bis zur Bildung des Präsidiums von dem Präsidenten oder aufsichtführenden Richter getroffen. § 21i Abs. 2 Satz 2 bis 4 gilt entsprechend.</w:t>
      </w:r>
    </w:p>
    <w:p>
      <w:r>
        <w:t xml:space="preserve">(2) Ein Präsidium nach § 21a Abs. 2 Nr. 1 bis 4 ist innerhalb von drei Monaten nach der Errichtung des Gerichts zu bilden. Die in § 21b Abs. 4 Satz 1 bestimmte Frist beginnt mit dem auf die Bildung des Präsidiums folgenden Geschäftsjahr, wenn das Präsidium nicht zu Beginn eines Geschäftsjahres gebildet wird.</w:t>
      </w:r>
    </w:p>
    <w:p>
      <w:r>
        <w:t xml:space="preserve">(3) An die Stelle des in § 21d Abs. 1 bezeichneten Zeitpunkts tritt der Tag der Errichtung des Gerichts.</w:t>
      </w:r>
    </w:p>
    <w:p>
      <w:r>
        <w:t xml:space="preserve">(4) Die Aufgaben nach § 1 Abs. 2 Satz 2 und 3 und Abs. 3 der Wahlordnung für die Präsidien der Gerichte vom 19. September 1972 (BGBl. I S. 1821) nimmt bei der erstmaligen Bestellung des Wahlvorstandes der Präsident oder aufsichtführende Richter wahr. Als Ablauf des Geschäftsjahres in § 1 Abs. 2 Satz 2 und § 3 Satz 1 der Wahlordnung für die Präsidien der Gerichte gilt der Ablauf der in Absatz 2 Satz 1 genannten Frist.</w:t>
      </w:r>
    </w:p>
    <w:p>
      <w:r>
        <w:rPr>
          <w:color w:val="555555"/>
          <w:sz w:val="17"/>
        </w:rPr>
        <w:t xml:space="preserve">Zitiervorschlag: § 21j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https://recht.nulegal.eu/gesetze/GVG/21j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