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21g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Innerhalb des mit mehreren Richtern besetzten Spruchkörpers werden die Geschäfte durch Beschluss aller dem Spruchkörper angehörenden Berufsrichter auf die Mitglieder verteilt. Bei Stimmengleichheit entscheidet das Präsidium.</w:t>
      </w:r>
    </w:p>
    <w:p>
      <w:r>
        <w:t xml:space="preserve">(2) Der Beschluss bestimmt vor Beginn des Geschäftsjahres für dessen Dauer, nach welchen Grundsätzen die Mitglieder an den Verfahren mitwirken; er kann nur geändert werden, wenn es wegen Überlastung, ungenügender Auslastung, Wechsels oder dauernder Verhinderung einzelner Mitglieder des Spruchkörpers nötig wird.</w:t>
      </w:r>
    </w:p>
    <w:p>
      <w:r>
        <w:t xml:space="preserve">(3) Absatz 2 gilt entsprechend, soweit nach den Vorschriften der Prozessordnungen die Verfahren durch den Spruchkörper einem seiner Mitglieder zur Entscheidung als Einzelrichter übertragen werden können.</w:t>
      </w:r>
    </w:p>
    <w:p>
      <w:r>
        <w:t xml:space="preserve">(4) Ist ein Berufsrichter an der Beschlussfassung verhindert, tritt der durch den Geschäftsverteilungsplan bestimmte Vertreter an seine Stelle.</w:t>
      </w:r>
    </w:p>
    <w:p>
      <w:r>
        <w:t xml:space="preserve">(5) § 21i Abs. 2 findet mit der Maßgabe entsprechende Anwendung, dass die Bestimmung durch den Vorsitzenden getroffen wird.</w:t>
      </w:r>
    </w:p>
    <w:p>
      <w:r>
        <w:t xml:space="preserve">(6) Vor der Beschlussfassung ist den Berufsrichtern, die von dem Beschluss betroffen werden, Gelegenheit zur Äußerung zu geben.</w:t>
      </w:r>
    </w:p>
    <w:p>
      <w:r>
        <w:t xml:space="preserve">(7) § 21e Abs. 9 findet entsprechend Anwendung.</w:t>
      </w:r>
    </w:p>
    <w:p>
      <w:r>
        <w:rPr>
          <w:color w:val="555555"/>
          <w:sz w:val="17"/>
        </w:rPr>
        <w:t xml:space="preserve">Zitiervorschlag: § 21g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https://recht.nulegal.eu/gesetze/GVG/21g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