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GVG</w:t>
      </w:r>
    </w:p>
    <w:p>
      <w:r>
        <w:rPr>
          <w:color w:val="555555"/>
          <w:sz w:val="18"/>
        </w:rPr>
        <w:t xml:space="preserve">Gerichtsverfassungsgesetz</w:t>
      </w:r>
    </w:p>
    <w:p>
      <w:r>
        <w:rPr>
          <w:color w:val="555555"/>
          <w:sz w:val="18"/>
        </w:rPr>
        <w:t xml:space="preserve">Stand: 03.08.2024 (konsolidierte Textfassung, kein amtliches Inkrafttretensdatum)</w:t>
      </w:r>
    </w:p>
    <w:p>
      <w:r>
        <w:t xml:space="preserve">(1) Die deutsche Gerichtsbarkeit erstreckt sich auch nicht auf Repräsentanten anderer Staaten und deren Begleitung, die sich auf amtliche Einladung der Bundesrepublik Deutschland im Geltungsbereich dieses Gesetzes aufhalten.</w:t>
      </w:r>
    </w:p>
    <w:p>
      <w:r>
        <w:t xml:space="preserve">(2) Im übrigen erstreckt sich die deutsche Gerichtsbarkeit auch nicht auf andere als die in Absatz 1 und in den §§ 18 und 19 genannten Personen, soweit sie nach den allgemeinen Regeln des Völkerrechts, auf Grund völkerrechtlicher Vereinbarungen oder sonstiger Rechtsvorschriften von ihr befreit sind. Funktionelle Immunität hindert nicht die Erstreckung deutscher Gerichtsbarkeit auf die Verfolgung von Verbrechen nach dem Völkerstrafgesetzbuch.</w:t>
      </w:r>
    </w:p>
    <w:p>
      <w:r>
        <w:rPr>
          <w:color w:val="555555"/>
          <w:sz w:val="17"/>
        </w:rPr>
        <w:t xml:space="preserve">Zitiervorschlag: § 20 GVG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