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Strafverfahren einschließlich des Verfahrens auf Vorbereitung der öffentlichen Klage ist § 198 nach Maßgabe der Absätze 2 bis 4 anzuwenden.</w:t>
      </w:r>
    </w:p>
    <w:p>
      <w:r>
        <w:t xml:space="preserve">(2) Während des Verfahrens auf Vorbereitung der öffentlichen Klage tritt die Staatsanwaltschaft und in Fällen des § 386 Absatz 2 der Abgabenordnung die Finanzbehörde an die Stelle des Gerichts; für das Verfahren nach Erhebung der öffentlichen Klage gilt § 198 Absatz 3 Satz 5 entsprechend.</w:t>
      </w:r>
    </w:p>
    <w:p>
      <w:r>
        <w:t xml:space="preserve">(3) Hat ein Strafgericht oder die Staatsanwaltschaft die unangemessene Dauer des Verfahrens zugunsten des Beschuldigten berücksichtigt, ist dies eine ausreichende Wiedergutmachung auf andere Weise gemäß § 198 Absatz 2 Satz 2; insoweit findet § 198 Absatz 4 keine Anwendung. Begehrt der Beschuldigte eines Strafverfahrens Entschädigung wegen überlanger Verfahrensdauer, ist das Entschädigungsgericht hinsichtlich der Beurteilung der Angemessenheit der Verfahrensdauer an eine Entscheidung des Strafgerichts gebunden.</w:t>
      </w:r>
    </w:p>
    <w:p>
      <w:r>
        <w:t xml:space="preserve">(4) Ein Privatkläger ist nicht Verfahrensbeteiligter im Sinne von § 198 Absatz 6 Nummer 2.</w:t>
      </w:r>
    </w:p>
    <w:p>
      <w:r>
        <w:rPr>
          <w:color w:val="555555"/>
          <w:sz w:val="17"/>
        </w:rPr>
        <w:t xml:space="preserve">Zitiervorschlag: § 199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