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195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Kein Richter oder Schöffe darf die Abstimmung über eine Frage verweigern, weil er bei der Abstimmung über eine vorhergegangene Frage in der Minderheit geblieben ist.</w:t>
      </w:r>
    </w:p>
    <w:p>
      <w:r>
        <w:rPr>
          <w:color w:val="555555"/>
          <w:sz w:val="17"/>
        </w:rPr>
        <w:t xml:space="preserve">Zitiervorschlag: § 195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https://recht.nulegal.eu/gesetze/GVG/195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