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194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leitet die Beratung, stellt die Fragen und sammelt die Stimmen.</w:t>
      </w:r>
    </w:p>
    <w:p>
      <w:r>
        <w:t xml:space="preserve">(2) Meinungsverschiedenheiten über den Gegenstand, die Fassung und die Reihenfolge der Fragen oder über das Ergebnis der Abstimmung entscheidet das Gericht.</w:t>
      </w:r>
    </w:p>
    <w:p>
      <w:r>
        <w:rPr>
          <w:color w:val="555555"/>
          <w:sz w:val="17"/>
        </w:rPr>
        <w:t xml:space="preserve">Zitiervorschlag: § 194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