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192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Entscheidungen dürfen Richter nur in der gesetzlich bestimmten Anzahl mitwirken.</w:t>
      </w:r>
    </w:p>
    <w:p>
      <w:r>
        <w:t xml:space="preserve">(2) Bei Verhandlungen von längerer Dauer kann der Vorsitzende die Zuziehung von Ergänzungsrichtern anordnen, die der Verhandlung beizuwohnen und im Falle der Verhinderung eines Richters für ihn einzutreten haben.</w:t>
      </w:r>
    </w:p>
    <w:p>
      <w:r>
        <w:t xml:space="preserve">(3) Diese Vorschriften sind auch auf Schöffen anzuwenden.</w:t>
      </w:r>
    </w:p>
    <w:p>
      <w:r>
        <w:rPr>
          <w:color w:val="555555"/>
          <w:sz w:val="17"/>
        </w:rPr>
        <w:t xml:space="preserve">Zitiervorschlag: § 192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