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191 GVG</w:t>
      </w:r>
    </w:p>
    <w:p>
      <w:r>
        <w:rPr>
          <w:color w:val="555555"/>
          <w:sz w:val="18"/>
        </w:rPr>
        <w:t xml:space="preserve">Gerichtsverfassungsgesetz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den Dolmetscher sind die Vorschriften über Ausschließung und Ablehnung der Sachverständigen entsprechend anzuwenden. Es entscheidet das Gericht oder der Richter, von dem der Dolmetscher zugezogen ist.</w:t>
      </w:r>
    </w:p>
    <w:p>
      <w:r>
        <w:rPr>
          <w:color w:val="555555"/>
          <w:sz w:val="17"/>
        </w:rPr>
        <w:t xml:space="preserve">Zitiervorschlag: § 191 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https://recht.nulegal.eu/gesetze/GVG/191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