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GVG</w:t>
      </w:r>
    </w:p>
    <w:p>
      <w:r>
        <w:rPr>
          <w:color w:val="555555"/>
          <w:sz w:val="18"/>
        </w:rPr>
        <w:t xml:space="preserve">Gerichtsverfassungsgesetz</w:t>
      </w:r>
    </w:p>
    <w:p>
      <w:r>
        <w:rPr>
          <w:color w:val="555555"/>
          <w:sz w:val="18"/>
        </w:rPr>
        <w:t xml:space="preserve">Stand: 10.06.2019 (konsolidierte Textfassung, kein amtliches Inkrafttretensdatum)</w:t>
      </w:r>
    </w:p>
    <w:p>
      <w:r>
        <w:t xml:space="preserve">(1) Die Mitglieder der im Geltungsbereich dieses Gesetzes errichteten konsularischen Vertretungen einschließlich der Wahlkonsularbeamten sind nach Maßgabe des Wiener Übereinkommens über konsularische Beziehungen vom 24. April 1963 (Bundesgesetzbl. 1969 II S. 1585ff.) von der deutschen Gerichtsbarkeit befreit. Dies gilt auch, wenn ihr Entsendestaat nicht Vertragspartei dieses Übereinkommens ist; in diesem Falle findet Artikel 2 des Gesetzes vom 26. August 1969 zu dem Wiener Übereinkommen vom 24. April 1963 über konsularische Beziehungen (Bundesgesetzbl. 1969 II S. 1585) entsprechende Anwendung.</w:t>
      </w:r>
    </w:p>
    <w:p>
      <w:r>
        <w:t xml:space="preserve">(2) Besondere völkerrechtliche Vereinbarungen über die Befreiung der in Absatz 1 genannten Personen von der deutschen Gerichtsbarkeit bleiben unberührt.</w:t>
      </w:r>
    </w:p>
    <w:p>
      <w:r>
        <w:rPr>
          <w:color w:val="555555"/>
          <w:sz w:val="17"/>
        </w:rPr>
        <w:t xml:space="preserve">Zitiervorschlag: § 19 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