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181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Ist in den Fällen der §§ 178, 180 ein Ordnungsmittel festgesetzt, so kann gegen die Entscheidung binnen der Frist von einer Woche nach ihrer Bekanntmachung Beschwerde eingelegt werden, sofern sie nicht von dem Bundesgerichtshof oder einem Oberlandesgericht getroffen ist.</w:t>
      </w:r>
    </w:p>
    <w:p>
      <w:r>
        <w:t xml:space="preserve">(2) Die Beschwerde hat in dem Falle des § 178 keine aufschiebende Wirkung, in dem Falle des § 180 aufschiebende Wirkung.</w:t>
      </w:r>
    </w:p>
    <w:p>
      <w:r>
        <w:t xml:space="preserve">(3) Über die Beschwerde entscheidet das Oberlandesgericht.</w:t>
      </w:r>
    </w:p>
    <w:p>
      <w:r>
        <w:rPr>
          <w:color w:val="555555"/>
          <w:sz w:val="17"/>
        </w:rPr>
        <w:t xml:space="preserve">Zitiervorschlag: § 181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