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179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Vollstreckung der vorstehend bezeichneten Ordnungsmittel hat der Vorsitzende unmittelbar zu veranlassen.</w:t>
      </w:r>
    </w:p>
    <w:p>
      <w:r>
        <w:rPr>
          <w:color w:val="555555"/>
          <w:sz w:val="17"/>
        </w:rPr>
        <w:t xml:space="preserve">Zitiervorschlag: § 179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