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GVG</w:t>
      </w:r>
    </w:p>
    <w:p>
      <w:r>
        <w:rPr>
          <w:color w:val="555555"/>
          <w:sz w:val="18"/>
        </w:rPr>
        <w:t xml:space="preserve">Gerichtsverfassungsgesetz</w:t>
      </w:r>
    </w:p>
    <w:p>
      <w:r>
        <w:rPr>
          <w:color w:val="555555"/>
          <w:sz w:val="18"/>
        </w:rPr>
        <w:t xml:space="preserve">Stand: 17.12.2019 (konsolidierte Textfassung, kein amtliches Inkrafttretensdatum)</w:t>
      </w:r>
    </w:p>
    <w:p>
      <w:r>
        <w:t xml:space="preserve">(1) Die Aufrechterhaltung der Ordnung in der Sitzung obliegt dem Vorsitzenden.</w:t>
      </w:r>
    </w:p>
    <w:p>
      <w:r>
        <w:t xml:space="preserve">(2) An der Verhandlung beteiligte Personen dürfen ihr Gesicht während der Sitzung weder ganz noch teilweise verhüllen. Der Vorsitzende kann Ausnahmen gestatten, wenn und soweit die Kenntlichmachung des Gesichts weder zur Identitätsfeststellung noch zur Beweiswürdigung notwendig ist.</w:t>
      </w:r>
    </w:p>
    <w:p>
      <w:r>
        <w:rPr>
          <w:color w:val="555555"/>
          <w:sz w:val="17"/>
        </w:rPr>
        <w:t xml:space="preserve">Zitiervorschlag: § 176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