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173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Verkündung des Urteils sowie der Endentscheidung in Ehesachen und Familienstreitsachen erfolgt in jedem Falle öffentlich.</w:t>
      </w:r>
    </w:p>
    <w:p>
      <w:r>
        <w:t xml:space="preserve">(2) Durch einen besonderen Beschluß des Gerichts kann unter den Voraussetzungen der §§ 171b und 172 auch für die Verkündung der Entscheidungsgründe oder eines Teiles davon die Öffentlichkeit ausgeschlossen werden.</w:t>
      </w:r>
    </w:p>
    <w:p>
      <w:r>
        <w:rPr>
          <w:color w:val="555555"/>
          <w:sz w:val="17"/>
        </w:rPr>
        <w:t xml:space="preserve">Zitiervorschlag: § 173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