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Zulässigkeit des beschrittenen Rechtsweges wird durch eine nach Rechtshängigkeit eintretende Veränderung der sie begründenden Umstände nicht berührt. Während der Rechtshängigkeit kann die Sache von keiner Partei anderweitig anhängig gemacht werden.</w:t>
      </w:r>
    </w:p>
    <w:p>
      <w:r>
        <w:t xml:space="preserve">(2) Das Gericht des zulässigen Rechtsweges entscheidet den Rechtsstreit unter allen in Betracht kommenden rechtlichen Gesichtspunkten. Artikel 14 Abs. 3 Satz 4 und Artikel 34 Satz 3 des Grundgesetzes bleiben unberührt.</w:t>
      </w:r>
    </w:p>
    <w:p>
      <w:r>
        <w:rPr>
          <w:color w:val="555555"/>
          <w:sz w:val="17"/>
        </w:rPr>
        <w:t xml:space="preserve">Zitiervorschlag: § 17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